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57" w:rsidRDefault="00674057" w:rsidP="00DB7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Pr="00953840" w:rsidRDefault="00953840" w:rsidP="00953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 ON THE MANAGEMENT OF SCIENTIFIC RESEARCH</w:t>
      </w:r>
      <w:r w:rsidR="00CF29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295E"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QUALITY</w:t>
      </w:r>
      <w:bookmarkStart w:id="0" w:name="_GoBack"/>
      <w:bookmarkEnd w:id="0"/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I. General Provisions and the Mission of the Institute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This regulation establishes the internal framework for the quality management of research within the Institute e-Austria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), a private non-profit association and a research institute that emerged as a spin-off of the Computer Science Department of the West University of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(UVT), the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Politehnica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University of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(UPT), and the Research Institute for Symbolic Computation (RISC) in Linz, Austria.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main objective of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is to promote excellence in scientific research and technology transfer in the field of information technologies, constituting a bridge between the Romanian academic environment and international research centers.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quality management of research at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is aligned with the requirements of the European Research Area (ERA) and the National Research, Development and Innovation Plan (PNCDI).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II. Ethics, Integrity, and Good Conduct in Research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4.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All affiliated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researchers are obliged to respect the provisions of Law no. 206/2004 regarding good conduct in scientific research, technological development, and innovation.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5.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following serious deviations are prohibited and considered research fraud:</w:t>
      </w:r>
    </w:p>
    <w:p w:rsidR="00953840" w:rsidRPr="00953840" w:rsidRDefault="00953840" w:rsidP="009538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Plagiarism: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presenting the ideas, data, or texts of other authors as one's own, without properly citing the original sources.</w:t>
      </w:r>
    </w:p>
    <w:p w:rsidR="00953840" w:rsidRPr="00953840" w:rsidRDefault="00953840" w:rsidP="009538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Fabrication: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reporting fictitious results or data, which are not the real product of research activities.</w:t>
      </w:r>
    </w:p>
    <w:p w:rsidR="00953840" w:rsidRPr="00953840" w:rsidRDefault="00953840" w:rsidP="009538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Falsification: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selective reporting, manipulating illustrations, or altering equipment to obtain the desired data.</w:t>
      </w:r>
    </w:p>
    <w:p w:rsidR="00953840" w:rsidRPr="00953840" w:rsidRDefault="00953840" w:rsidP="009538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Self-plagiarism: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republishing substantial parts of one's own previous works without indicating the original source.</w:t>
      </w:r>
    </w:p>
    <w:p w:rsidR="00953840" w:rsidRDefault="00953840" w:rsidP="009538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Conflict of interest: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incompatibilities arising from personal interests that can influence the objectivity of the research or evaluation.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6.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analysis and sanctioning of deviations are carried out in the first instance by the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Ethics Committee, and resolutions can be appealed to the National Council for Ethics of Scientific Research, Technological Development and Innovation (CNECSDTI).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III. Performance and Publication Standards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evaluation of the individual performance of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researchers in the field of Computer Science is based on the current CNATDCU standards.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8.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main metric instrument for evaluating journal publications is the Article Influence Score (AIS), which excludes self-citations and weights citations according to the prestige of the citing journal.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9.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For conferences, the international CORE classification is used, with results ranked in categories A*, A, B, C, and D.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10.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To ensure real scientific merit and combat predatory editorial practices, papers published in "pay-to-publish" journals (which generally require payment of a processing/publication fee upon submission) are not taken into account for calculating minimum standards.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research budgets will prioritize funding qualitative results, published in prestigious forums.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Chapter IV. Institutional Evaluation and Attracting Funds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11.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The institutional performance of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is periodically evaluated according to the national framework for evaluating the performance of research organizations.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12.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A central performance indicator assumed by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is the "capacity to attract and manage research funds" through national, European, and international competitions.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13.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encourages the dissemination of scientific and technological </w:t>
      </w:r>
      <w:proofErr w:type="gramStart"/>
      <w:r w:rsidRPr="00953840">
        <w:rPr>
          <w:rFonts w:ascii="Times New Roman" w:eastAsia="Times New Roman" w:hAnsi="Times New Roman" w:cs="Times New Roman"/>
          <w:sz w:val="24"/>
          <w:szCs w:val="24"/>
        </w:rPr>
        <w:t>results  to</w:t>
      </w:r>
      <w:proofErr w:type="gram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amplify the socio-economic impact and the applicative capacity of the institute.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Chapter V. Promoting Open Science and Data Management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14.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supports the transition towards an Open Science ecosystem, in accordance with national and European initiatives.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15.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Research projects carried out within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must obligatorily include Data Management Plans, which respect the FAIR principles (Findable, Accessible, Interoperable, and Reusable).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16.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researchers are obliged to create and keep their academic profiles updated on the national platform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BrainMap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and other recognized international registries, thus facilitating the monitoring of open science practices and attracting collaborations.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Chapter VI. Training of Young Researchers and Mentorship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17.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assumes the role of supporting the development of human resources by involving young researchers (students, master's students, doctoral students) in competitive research projects. </w:t>
      </w:r>
    </w:p>
    <w:p w:rsidR="00953840" w:rsidRPr="00953840" w:rsidRDefault="00953840" w:rsidP="00953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0">
        <w:rPr>
          <w:rFonts w:ascii="Times New Roman" w:eastAsia="Times New Roman" w:hAnsi="Times New Roman" w:cs="Times New Roman"/>
          <w:b/>
          <w:bCs/>
          <w:sz w:val="24"/>
          <w:szCs w:val="24"/>
        </w:rPr>
        <w:t>Art. 18.</w:t>
      </w:r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Doctoral students affiliated or guided through </w:t>
      </w:r>
      <w:proofErr w:type="spellStart"/>
      <w:r w:rsidRPr="00953840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953840">
        <w:rPr>
          <w:rFonts w:ascii="Times New Roman" w:eastAsia="Times New Roman" w:hAnsi="Times New Roman" w:cs="Times New Roman"/>
          <w:sz w:val="24"/>
          <w:szCs w:val="24"/>
        </w:rPr>
        <w:t xml:space="preserve"> partnerships with UVT and UPT must compulsorily take courses in ethics and academic integrity during their advanced training program.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9B" w:rsidRDefault="00A6379B" w:rsidP="00CB4118">
      <w:pPr>
        <w:spacing w:after="0" w:line="240" w:lineRule="auto"/>
      </w:pPr>
      <w:r>
        <w:separator/>
      </w:r>
    </w:p>
  </w:endnote>
  <w:endnote w:type="continuationSeparator" w:id="0">
    <w:p w:rsidR="00A6379B" w:rsidRDefault="00A6379B" w:rsidP="00CB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9B" w:rsidRDefault="00A6379B" w:rsidP="00CB4118">
      <w:pPr>
        <w:spacing w:after="0" w:line="240" w:lineRule="auto"/>
      </w:pPr>
      <w:r>
        <w:separator/>
      </w:r>
    </w:p>
  </w:footnote>
  <w:footnote w:type="continuationSeparator" w:id="0">
    <w:p w:rsidR="00A6379B" w:rsidRDefault="00A6379B" w:rsidP="00CB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CB4118" w:rsidTr="00351972">
      <w:tc>
        <w:tcPr>
          <w:tcW w:w="2088" w:type="dxa"/>
        </w:tcPr>
        <w:p w:rsidR="00CB4118" w:rsidRDefault="00CB4118" w:rsidP="00CB4118">
          <w:r>
            <w:rPr>
              <w:noProof/>
            </w:rPr>
            <w:drawing>
              <wp:inline distT="0" distB="0" distL="0" distR="0" wp14:anchorId="7400C513" wp14:editId="5C955C3E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CB4118" w:rsidRDefault="00CB4118" w:rsidP="00CB4118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CB4118" w:rsidRDefault="00CB4118" w:rsidP="00CB4118">
          <w:pPr>
            <w:ind w:left="1151" w:firstLine="794"/>
            <w:rPr>
              <w:sz w:val="16"/>
              <w:szCs w:val="16"/>
              <w:lang w:val="it-IT"/>
            </w:rPr>
          </w:pPr>
        </w:p>
        <w:p w:rsidR="00CB4118" w:rsidRDefault="00CB4118" w:rsidP="00CB411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CB4118" w:rsidRDefault="00CB4118" w:rsidP="00CB4118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CB4118" w:rsidRDefault="00CB4118" w:rsidP="00CB4118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CB4118" w:rsidRDefault="00CB4118" w:rsidP="00CB4118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CB4118" w:rsidRDefault="00CB4118" w:rsidP="00CB4118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CB4118" w:rsidRPr="00CB4118" w:rsidRDefault="00CB41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B00"/>
    <w:multiLevelType w:val="multilevel"/>
    <w:tmpl w:val="638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B3701"/>
    <w:multiLevelType w:val="multilevel"/>
    <w:tmpl w:val="B7A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4A"/>
    <w:rsid w:val="0010076F"/>
    <w:rsid w:val="00674057"/>
    <w:rsid w:val="007F1E66"/>
    <w:rsid w:val="00953840"/>
    <w:rsid w:val="00A6379B"/>
    <w:rsid w:val="00B900CB"/>
    <w:rsid w:val="00CB4118"/>
    <w:rsid w:val="00CF295E"/>
    <w:rsid w:val="00DB7483"/>
    <w:rsid w:val="00F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AA67-A660-4D57-BF1B-B5F8666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B41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411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4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18"/>
  </w:style>
  <w:style w:type="paragraph" w:styleId="Footer">
    <w:name w:val="footer"/>
    <w:basedOn w:val="Normal"/>
    <w:link w:val="FooterChar"/>
    <w:uiPriority w:val="99"/>
    <w:unhideWhenUsed/>
    <w:rsid w:val="00CB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18"/>
  </w:style>
  <w:style w:type="character" w:customStyle="1" w:styleId="Heading1Char">
    <w:name w:val="Heading 1 Char"/>
    <w:basedOn w:val="DefaultParagraphFont"/>
    <w:link w:val="Heading1"/>
    <w:uiPriority w:val="99"/>
    <w:rsid w:val="00CB411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CB4118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Dana Petcu</cp:lastModifiedBy>
  <cp:revision>6</cp:revision>
  <dcterms:created xsi:type="dcterms:W3CDTF">2026-04-22T05:51:00Z</dcterms:created>
  <dcterms:modified xsi:type="dcterms:W3CDTF">2026-04-22T13:03:00Z</dcterms:modified>
</cp:coreProperties>
</file>